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2EA" w:rsidRDefault="004832EA" w:rsidP="004832EA">
      <w:pPr>
        <w:ind w:right="-108"/>
        <w:jc w:val="right"/>
        <w:rPr>
          <w:rFonts w:ascii="Cambria" w:hAnsi="Cambria"/>
          <w:b/>
          <w:sz w:val="22"/>
          <w:szCs w:val="22"/>
          <w:lang w:val="pl-PL"/>
        </w:rPr>
      </w:pPr>
      <w:r>
        <w:rPr>
          <w:rFonts w:ascii="Cambria" w:hAnsi="Cambria"/>
          <w:b/>
          <w:sz w:val="22"/>
          <w:szCs w:val="22"/>
          <w:lang w:val="pl-PL"/>
        </w:rPr>
        <w:t xml:space="preserve">Załącznik nr 2 do SIWZ  </w:t>
      </w:r>
    </w:p>
    <w:p w:rsidR="004832EA" w:rsidRDefault="004832EA" w:rsidP="004832EA">
      <w:pPr>
        <w:ind w:right="-108" w:firstLine="708"/>
        <w:jc w:val="center"/>
        <w:rPr>
          <w:rFonts w:ascii="Cambria" w:hAnsi="Cambria"/>
          <w:b/>
          <w:sz w:val="22"/>
          <w:szCs w:val="22"/>
          <w:lang w:val="pl-PL"/>
        </w:rPr>
      </w:pPr>
    </w:p>
    <w:p w:rsidR="004832EA" w:rsidRDefault="004832EA" w:rsidP="004832EA">
      <w:pPr>
        <w:ind w:right="-108"/>
        <w:rPr>
          <w:rFonts w:ascii="Cambria" w:hAnsi="Cambria"/>
          <w:b/>
          <w:sz w:val="22"/>
          <w:szCs w:val="22"/>
          <w:lang w:val="pl-PL"/>
        </w:rPr>
      </w:pPr>
    </w:p>
    <w:p w:rsidR="004832EA" w:rsidRDefault="004832EA" w:rsidP="004832EA">
      <w:pPr>
        <w:jc w:val="both"/>
        <w:rPr>
          <w:rFonts w:ascii="Calibri" w:hAnsi="Calibri" w:cs="Calibri"/>
          <w:sz w:val="32"/>
          <w:szCs w:val="32"/>
          <w:lang w:val="pl-PL" w:eastAsia="pl-PL"/>
        </w:rPr>
      </w:pPr>
      <w:bookmarkStart w:id="0" w:name="OLE_LINK7"/>
    </w:p>
    <w:bookmarkEnd w:id="0"/>
    <w:p w:rsidR="004832EA" w:rsidRDefault="004832EA" w:rsidP="004832EA">
      <w:pPr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bCs/>
          <w:lang w:val="pl-PL" w:eastAsia="pl-PL"/>
        </w:rPr>
        <w:t xml:space="preserve">                                      </w:t>
      </w:r>
      <w:r>
        <w:rPr>
          <w:rFonts w:ascii="Arial" w:hAnsi="Arial" w:cs="Arial"/>
          <w:b/>
          <w:lang w:val="pl-PL"/>
        </w:rPr>
        <w:t>Opis przedmiotu zamówienia</w:t>
      </w:r>
    </w:p>
    <w:p w:rsidR="004832EA" w:rsidRDefault="004832EA" w:rsidP="004832EA">
      <w:pPr>
        <w:rPr>
          <w:rFonts w:ascii="Arial" w:hAnsi="Arial" w:cs="Arial"/>
          <w:b/>
          <w:lang w:val="pl-PL"/>
        </w:rPr>
      </w:pPr>
    </w:p>
    <w:p w:rsidR="004832EA" w:rsidRDefault="004832EA" w:rsidP="004832EA">
      <w:pPr>
        <w:jc w:val="both"/>
        <w:rPr>
          <w:rFonts w:ascii="Calibri" w:hAnsi="Calibri" w:cs="Calibri"/>
          <w:sz w:val="28"/>
          <w:szCs w:val="28"/>
          <w:lang w:val="pl-PL"/>
        </w:rPr>
      </w:pPr>
    </w:p>
    <w:p w:rsidR="004832EA" w:rsidRDefault="004832EA" w:rsidP="004832EA">
      <w:pPr>
        <w:jc w:val="both"/>
        <w:rPr>
          <w:rFonts w:ascii="Calibri" w:hAnsi="Calibri" w:cs="Calibri"/>
          <w:sz w:val="28"/>
          <w:szCs w:val="28"/>
          <w:lang w:val="pl-PL"/>
        </w:rPr>
      </w:pPr>
    </w:p>
    <w:p w:rsidR="004832EA" w:rsidRDefault="004832EA" w:rsidP="004832EA">
      <w:pPr>
        <w:ind w:firstLine="425"/>
        <w:jc w:val="both"/>
        <w:rPr>
          <w:rFonts w:ascii="Calibri" w:hAnsi="Calibri" w:cs="Calibri"/>
          <w:sz w:val="28"/>
          <w:szCs w:val="28"/>
          <w:lang w:val="pl-PL"/>
        </w:rPr>
      </w:pPr>
      <w:r>
        <w:rPr>
          <w:rFonts w:ascii="Calibri" w:hAnsi="Calibri" w:cs="Calibri"/>
          <w:sz w:val="28"/>
          <w:szCs w:val="28"/>
          <w:lang w:val="pl-PL"/>
        </w:rPr>
        <w:t xml:space="preserve">CPV  09300000-2 – energia elektryczna, cieplna, słoneczna i jądrowa </w:t>
      </w:r>
    </w:p>
    <w:p w:rsidR="004832EA" w:rsidRDefault="004832EA" w:rsidP="004832EA">
      <w:pPr>
        <w:pStyle w:val="Tekstpodstawowy"/>
        <w:spacing w:after="0"/>
        <w:jc w:val="center"/>
        <w:rPr>
          <w:rFonts w:ascii="Calibri" w:hAnsi="Calibri" w:cs="Calibri"/>
          <w:sz w:val="28"/>
          <w:szCs w:val="28"/>
          <w:u w:val="single"/>
        </w:rPr>
      </w:pPr>
      <w:r>
        <w:rPr>
          <w:rFonts w:ascii="Calibri" w:hAnsi="Calibri" w:cs="Calibri"/>
          <w:sz w:val="28"/>
          <w:szCs w:val="28"/>
          <w:u w:val="single"/>
        </w:rPr>
        <w:t>Szczegółowe warunki przedmiotu zamówienia</w:t>
      </w:r>
    </w:p>
    <w:p w:rsidR="004832EA" w:rsidRDefault="004832EA" w:rsidP="004832EA">
      <w:pPr>
        <w:pStyle w:val="Tekstpodstawowy"/>
        <w:spacing w:after="0"/>
        <w:ind w:left="720"/>
        <w:rPr>
          <w:rFonts w:ascii="Calibri" w:hAnsi="Calibri" w:cs="Calibri"/>
          <w:sz w:val="28"/>
          <w:szCs w:val="28"/>
          <w:vertAlign w:val="superscript"/>
        </w:rPr>
      </w:pPr>
    </w:p>
    <w:p w:rsidR="004832EA" w:rsidRDefault="004832EA" w:rsidP="004832EA">
      <w:pPr>
        <w:pStyle w:val="Tekstpodstawowy"/>
        <w:numPr>
          <w:ilvl w:val="0"/>
          <w:numId w:val="1"/>
        </w:numPr>
        <w:spacing w:after="0"/>
        <w:ind w:left="425" w:hanging="357"/>
        <w:rPr>
          <w:rFonts w:ascii="Calibri" w:hAnsi="Calibri" w:cs="Calibri"/>
          <w:sz w:val="28"/>
          <w:szCs w:val="28"/>
          <w:lang w:val="pl-PL"/>
        </w:rPr>
      </w:pPr>
      <w:r>
        <w:rPr>
          <w:rFonts w:ascii="Calibri" w:hAnsi="Calibri" w:cs="Calibri"/>
          <w:b/>
          <w:sz w:val="28"/>
          <w:szCs w:val="28"/>
          <w:lang w:val="pl-PL"/>
        </w:rPr>
        <w:t>budynek przy ul. Kazimierzowska 16</w:t>
      </w:r>
      <w:r>
        <w:rPr>
          <w:rFonts w:ascii="Calibri" w:hAnsi="Calibri" w:cs="Calibri"/>
          <w:sz w:val="28"/>
          <w:szCs w:val="28"/>
          <w:lang w:val="pl-PL"/>
        </w:rPr>
        <w:t xml:space="preserve">  (niemodernizowany, bez dodatkowej izolacji cieplnej) </w:t>
      </w:r>
    </w:p>
    <w:p w:rsidR="004832EA" w:rsidRDefault="004832EA" w:rsidP="004832EA">
      <w:pPr>
        <w:pStyle w:val="Tekstpodstawowy"/>
        <w:numPr>
          <w:ilvl w:val="0"/>
          <w:numId w:val="2"/>
        </w:numPr>
        <w:spacing w:after="0"/>
        <w:ind w:left="714" w:hanging="357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planowane zużycie energii cieplnej : </w:t>
      </w:r>
      <w:r>
        <w:rPr>
          <w:rFonts w:ascii="Calibri" w:hAnsi="Calibri" w:cs="Calibri"/>
          <w:sz w:val="28"/>
          <w:szCs w:val="28"/>
          <w:lang w:val="pl-PL"/>
        </w:rPr>
        <w:t>1326,26</w:t>
      </w:r>
      <w:r>
        <w:rPr>
          <w:rFonts w:ascii="Calibri" w:hAnsi="Calibri" w:cs="Calibri"/>
          <w:sz w:val="28"/>
          <w:szCs w:val="28"/>
        </w:rPr>
        <w:t>GJ</w:t>
      </w:r>
    </w:p>
    <w:p w:rsidR="004832EA" w:rsidRDefault="004832EA" w:rsidP="004832EA">
      <w:pPr>
        <w:pStyle w:val="Tekstpodstawowy"/>
        <w:numPr>
          <w:ilvl w:val="0"/>
          <w:numId w:val="2"/>
        </w:numPr>
        <w:spacing w:after="0"/>
        <w:ind w:left="714" w:hanging="357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moc cieplna  zamawiana: 0,</w:t>
      </w:r>
      <w:r>
        <w:rPr>
          <w:rFonts w:ascii="Calibri" w:hAnsi="Calibri" w:cs="Calibri"/>
          <w:sz w:val="28"/>
          <w:szCs w:val="28"/>
          <w:lang w:val="pl-PL"/>
        </w:rPr>
        <w:t>2447</w:t>
      </w:r>
      <w:r>
        <w:rPr>
          <w:rFonts w:ascii="Calibri" w:hAnsi="Calibri" w:cs="Calibri"/>
          <w:sz w:val="28"/>
          <w:szCs w:val="28"/>
        </w:rPr>
        <w:t xml:space="preserve"> MW,</w:t>
      </w:r>
    </w:p>
    <w:p w:rsidR="004832EA" w:rsidRDefault="004832EA" w:rsidP="004832EA">
      <w:pPr>
        <w:pStyle w:val="Tekstpodstawowy"/>
        <w:spacing w:after="0"/>
        <w:ind w:left="709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 tym</w:t>
      </w:r>
    </w:p>
    <w:p w:rsidR="004832EA" w:rsidRDefault="004832EA" w:rsidP="004832EA">
      <w:pPr>
        <w:pStyle w:val="Tekstpodstawowy"/>
        <w:spacing w:after="0"/>
        <w:ind w:left="1417"/>
        <w:rPr>
          <w:rFonts w:ascii="Calibri" w:hAnsi="Calibri" w:cs="Calibri"/>
          <w:sz w:val="28"/>
          <w:szCs w:val="28"/>
          <w:lang w:val="pl-PL"/>
        </w:rPr>
      </w:pPr>
      <w:r>
        <w:rPr>
          <w:rFonts w:ascii="Calibri" w:hAnsi="Calibri" w:cs="Calibri"/>
          <w:sz w:val="28"/>
          <w:szCs w:val="28"/>
          <w:lang w:val="pl-PL"/>
        </w:rPr>
        <w:t>- moc cieplna na potrzeby ogrzewania:                    0,1842  MW,</w:t>
      </w:r>
    </w:p>
    <w:p w:rsidR="004832EA" w:rsidRDefault="004832EA" w:rsidP="004832EA">
      <w:pPr>
        <w:pStyle w:val="Tekstpodstawowy"/>
        <w:spacing w:after="0"/>
        <w:ind w:left="709" w:firstLine="707"/>
        <w:rPr>
          <w:rFonts w:ascii="Calibri" w:hAnsi="Calibri" w:cs="Calibri"/>
          <w:sz w:val="28"/>
          <w:szCs w:val="28"/>
          <w:lang w:val="pl-PL"/>
        </w:rPr>
      </w:pPr>
      <w:r>
        <w:rPr>
          <w:rFonts w:ascii="Calibri" w:hAnsi="Calibri" w:cs="Calibri"/>
          <w:sz w:val="28"/>
          <w:szCs w:val="28"/>
          <w:lang w:val="pl-PL"/>
        </w:rPr>
        <w:t>- moc cieplna na potrzeby ciepłej wody średnia:    0,0605 MW</w:t>
      </w:r>
    </w:p>
    <w:p w:rsidR="004832EA" w:rsidRDefault="004832EA" w:rsidP="004832EA">
      <w:pPr>
        <w:pStyle w:val="Tekstpodstawowy"/>
        <w:spacing w:after="0"/>
        <w:ind w:left="1416"/>
        <w:rPr>
          <w:rFonts w:ascii="Calibri" w:hAnsi="Calibri" w:cs="Calibri"/>
          <w:sz w:val="28"/>
          <w:szCs w:val="28"/>
          <w:lang w:val="pl-PL"/>
        </w:rPr>
      </w:pPr>
      <w:r>
        <w:rPr>
          <w:rFonts w:ascii="Calibri" w:hAnsi="Calibri" w:cs="Calibri"/>
          <w:sz w:val="28"/>
          <w:szCs w:val="28"/>
          <w:lang w:val="pl-PL"/>
        </w:rPr>
        <w:t>- moc maksymalna:  0,0605  MW                                                                                                                      - moc cieplna na potrzeby c.t.     --  MW</w:t>
      </w:r>
    </w:p>
    <w:p w:rsidR="004832EA" w:rsidRDefault="004832EA" w:rsidP="004832EA">
      <w:pPr>
        <w:pStyle w:val="Tekstpodstawowy"/>
        <w:spacing w:after="0"/>
        <w:ind w:left="709" w:firstLine="707"/>
        <w:rPr>
          <w:rFonts w:ascii="Calibri" w:hAnsi="Calibri" w:cs="Calibri"/>
          <w:sz w:val="28"/>
          <w:szCs w:val="28"/>
          <w:lang w:val="pl-PL"/>
        </w:rPr>
      </w:pPr>
    </w:p>
    <w:p w:rsidR="004832EA" w:rsidRDefault="004832EA" w:rsidP="004832EA">
      <w:pPr>
        <w:pStyle w:val="Tekstpodstawowy"/>
        <w:spacing w:after="0"/>
        <w:rPr>
          <w:rFonts w:ascii="Calibri" w:hAnsi="Calibri" w:cs="Calibri"/>
          <w:sz w:val="28"/>
          <w:szCs w:val="28"/>
          <w:lang w:val="pl-PL"/>
        </w:rPr>
      </w:pPr>
      <w:r>
        <w:rPr>
          <w:rFonts w:ascii="Calibri" w:hAnsi="Calibri" w:cs="Calibri"/>
          <w:sz w:val="28"/>
          <w:szCs w:val="28"/>
          <w:lang w:val="pl-PL"/>
        </w:rPr>
        <w:t xml:space="preserve">          natężenie przepływu nośnika ciepła dla zimy:  2,7  m³/h</w:t>
      </w:r>
    </w:p>
    <w:p w:rsidR="004832EA" w:rsidRDefault="004832EA" w:rsidP="004832EA">
      <w:pPr>
        <w:pStyle w:val="Tekstpodstawowy"/>
        <w:spacing w:after="0"/>
        <w:rPr>
          <w:rFonts w:ascii="Calibri" w:hAnsi="Calibri" w:cs="Calibri"/>
          <w:sz w:val="28"/>
          <w:szCs w:val="28"/>
          <w:lang w:val="pl-PL"/>
        </w:rPr>
      </w:pPr>
      <w:r>
        <w:rPr>
          <w:rFonts w:ascii="Calibri" w:hAnsi="Calibri" w:cs="Calibri"/>
          <w:sz w:val="28"/>
          <w:szCs w:val="28"/>
          <w:lang w:val="pl-PL"/>
        </w:rPr>
        <w:t xml:space="preserve">          natężenie przepływu nośnika ciepła dla lata:    1,2  m³/h</w:t>
      </w:r>
    </w:p>
    <w:p w:rsidR="004832EA" w:rsidRDefault="004832EA" w:rsidP="004832EA">
      <w:pPr>
        <w:pStyle w:val="Tekstpodstawowy"/>
        <w:spacing w:after="0"/>
        <w:rPr>
          <w:rFonts w:ascii="Calibri" w:hAnsi="Calibri" w:cs="Calibri"/>
          <w:sz w:val="28"/>
          <w:szCs w:val="28"/>
          <w:lang w:val="pl-PL"/>
        </w:rPr>
      </w:pPr>
      <w:r>
        <w:rPr>
          <w:rFonts w:ascii="Calibri" w:hAnsi="Calibri" w:cs="Calibri"/>
          <w:sz w:val="28"/>
          <w:szCs w:val="28"/>
          <w:lang w:val="pl-PL"/>
        </w:rPr>
        <w:t xml:space="preserve"> </w:t>
      </w:r>
    </w:p>
    <w:p w:rsidR="004832EA" w:rsidRDefault="004832EA" w:rsidP="004832EA">
      <w:pPr>
        <w:pStyle w:val="Tekstpodstawowy"/>
        <w:numPr>
          <w:ilvl w:val="0"/>
          <w:numId w:val="2"/>
        </w:numPr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  <w:lang w:val="pl-PL"/>
        </w:rPr>
        <w:t>węzeł cieplny jest własnością Zamawiającego, zlokalizowany przy ul. Kazimierzowskiej 16</w:t>
      </w:r>
    </w:p>
    <w:p w:rsidR="004832EA" w:rsidRDefault="004832EA" w:rsidP="004832EA">
      <w:pPr>
        <w:pStyle w:val="Tekstpodstawowy"/>
        <w:numPr>
          <w:ilvl w:val="0"/>
          <w:numId w:val="2"/>
        </w:numPr>
        <w:spacing w:after="0"/>
        <w:rPr>
          <w:rFonts w:ascii="Calibri" w:hAnsi="Calibri" w:cs="Calibri"/>
          <w:sz w:val="28"/>
          <w:szCs w:val="28"/>
          <w:lang w:val="pl-PL"/>
        </w:rPr>
      </w:pPr>
      <w:r>
        <w:rPr>
          <w:rFonts w:ascii="Calibri" w:hAnsi="Calibri" w:cs="Calibri"/>
          <w:sz w:val="28"/>
          <w:szCs w:val="28"/>
          <w:lang w:val="pl-PL"/>
        </w:rPr>
        <w:t>układ pomiarowo-rozliczeniowy mierzący całkowite ciepło dostarczane do węzła cieplnego jest własnością Veolia Energia Warszawa S.A. i zainstalowany jest w makiecie węzła cieplnego</w:t>
      </w:r>
    </w:p>
    <w:p w:rsidR="004832EA" w:rsidRDefault="004832EA" w:rsidP="004832EA">
      <w:pPr>
        <w:pStyle w:val="Tekstpodstawowy"/>
        <w:numPr>
          <w:ilvl w:val="0"/>
          <w:numId w:val="2"/>
        </w:numPr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regulatora pogodowy jest własnością Zamawiającego </w:t>
      </w:r>
    </w:p>
    <w:p w:rsidR="004832EA" w:rsidRDefault="004832EA" w:rsidP="004832EA">
      <w:pPr>
        <w:pStyle w:val="Tekstpodstawowy"/>
        <w:numPr>
          <w:ilvl w:val="0"/>
          <w:numId w:val="2"/>
        </w:numPr>
        <w:spacing w:after="0"/>
        <w:rPr>
          <w:rFonts w:ascii="Calibri" w:hAnsi="Calibri" w:cs="Calibri"/>
          <w:sz w:val="28"/>
          <w:szCs w:val="28"/>
          <w:lang w:val="pl-PL"/>
        </w:rPr>
      </w:pPr>
      <w:r>
        <w:rPr>
          <w:rFonts w:ascii="Calibri" w:hAnsi="Calibri" w:cs="Calibri"/>
          <w:sz w:val="28"/>
          <w:szCs w:val="28"/>
          <w:lang w:val="pl-PL"/>
        </w:rPr>
        <w:t>temperatura obliczeniowa instalacji centralnego ogrzewania:</w:t>
      </w:r>
      <w:r>
        <w:rPr>
          <w:rFonts w:ascii="Calibri" w:hAnsi="Calibri" w:cs="Calibri"/>
          <w:sz w:val="28"/>
          <w:szCs w:val="28"/>
          <w:lang w:val="pl-PL"/>
        </w:rPr>
        <w:tab/>
        <w:t xml:space="preserve">85/60 </w:t>
      </w:r>
      <w:smartTag w:uri="urn:schemas-microsoft-com:office:smarttags" w:element="metricconverter">
        <w:smartTagPr>
          <w:attr w:name="ProductID" w:val="0C"/>
        </w:smartTagPr>
        <w:r>
          <w:rPr>
            <w:rFonts w:ascii="Calibri" w:hAnsi="Calibri" w:cs="Calibri"/>
            <w:sz w:val="28"/>
            <w:szCs w:val="28"/>
            <w:vertAlign w:val="superscript"/>
            <w:lang w:val="pl-PL"/>
          </w:rPr>
          <w:t>0</w:t>
        </w:r>
        <w:r>
          <w:rPr>
            <w:rFonts w:ascii="Calibri" w:hAnsi="Calibri" w:cs="Calibri"/>
            <w:sz w:val="28"/>
            <w:szCs w:val="28"/>
            <w:lang w:val="pl-PL"/>
          </w:rPr>
          <w:t>C</w:t>
        </w:r>
      </w:smartTag>
    </w:p>
    <w:p w:rsidR="004832EA" w:rsidRDefault="004832EA" w:rsidP="004832EA">
      <w:pPr>
        <w:pStyle w:val="Tekstpodstawowy"/>
        <w:numPr>
          <w:ilvl w:val="0"/>
          <w:numId w:val="2"/>
        </w:numPr>
        <w:spacing w:after="0"/>
        <w:rPr>
          <w:rFonts w:ascii="Calibri" w:hAnsi="Calibri" w:cs="Calibri"/>
          <w:sz w:val="28"/>
          <w:szCs w:val="28"/>
          <w:lang w:val="pl-PL"/>
        </w:rPr>
      </w:pPr>
      <w:r>
        <w:rPr>
          <w:rFonts w:ascii="Calibri" w:hAnsi="Calibri" w:cs="Calibri"/>
          <w:sz w:val="28"/>
          <w:szCs w:val="28"/>
          <w:lang w:val="pl-PL"/>
        </w:rPr>
        <w:t xml:space="preserve">powierzchnia ogrzewana – lokali mieszkalnych : </w:t>
      </w:r>
      <w:r>
        <w:rPr>
          <w:rFonts w:ascii="Calibri" w:hAnsi="Calibri" w:cs="Calibri"/>
          <w:sz w:val="28"/>
          <w:szCs w:val="28"/>
          <w:lang w:val="pl-PL"/>
        </w:rPr>
        <w:tab/>
        <w:t xml:space="preserve">                 0,0 m</w:t>
      </w:r>
      <w:r>
        <w:rPr>
          <w:rFonts w:ascii="Calibri" w:hAnsi="Calibri" w:cs="Calibri"/>
          <w:sz w:val="28"/>
          <w:szCs w:val="28"/>
          <w:vertAlign w:val="superscript"/>
          <w:lang w:val="pl-PL"/>
        </w:rPr>
        <w:t>2</w:t>
      </w:r>
      <w:r>
        <w:rPr>
          <w:rFonts w:ascii="Calibri" w:hAnsi="Calibri" w:cs="Calibri"/>
          <w:sz w:val="28"/>
          <w:szCs w:val="28"/>
          <w:lang w:val="pl-PL"/>
        </w:rPr>
        <w:t>,</w:t>
      </w:r>
    </w:p>
    <w:p w:rsidR="004832EA" w:rsidRDefault="004832EA" w:rsidP="004832EA">
      <w:pPr>
        <w:pStyle w:val="Tekstpodstawowy"/>
        <w:numPr>
          <w:ilvl w:val="0"/>
          <w:numId w:val="2"/>
        </w:numPr>
        <w:spacing w:after="0"/>
        <w:rPr>
          <w:rFonts w:ascii="Calibri" w:hAnsi="Calibri" w:cs="Calibri"/>
          <w:sz w:val="28"/>
          <w:szCs w:val="28"/>
          <w:lang w:val="pl-PL"/>
        </w:rPr>
      </w:pPr>
      <w:r>
        <w:rPr>
          <w:rFonts w:ascii="Calibri" w:hAnsi="Calibri" w:cs="Calibri"/>
          <w:sz w:val="28"/>
          <w:szCs w:val="28"/>
          <w:lang w:val="pl-PL"/>
        </w:rPr>
        <w:t>powierzchnia ogrzewana – lokali niemieszkalnych :      2804,85 m</w:t>
      </w:r>
      <w:r>
        <w:rPr>
          <w:rFonts w:ascii="Calibri" w:hAnsi="Calibri" w:cs="Calibri"/>
          <w:sz w:val="28"/>
          <w:szCs w:val="28"/>
          <w:vertAlign w:val="superscript"/>
          <w:lang w:val="pl-PL"/>
        </w:rPr>
        <w:t>2</w:t>
      </w:r>
      <w:r>
        <w:rPr>
          <w:rFonts w:ascii="Calibri" w:hAnsi="Calibri" w:cs="Calibri"/>
          <w:sz w:val="28"/>
          <w:szCs w:val="28"/>
          <w:lang w:val="pl-PL"/>
        </w:rPr>
        <w:t>,</w:t>
      </w:r>
    </w:p>
    <w:p w:rsidR="004832EA" w:rsidRDefault="004832EA" w:rsidP="004832EA">
      <w:pPr>
        <w:pStyle w:val="Tekstpodstawowy"/>
        <w:numPr>
          <w:ilvl w:val="0"/>
          <w:numId w:val="2"/>
        </w:numPr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powierzchnia całkowita budynku - 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 xml:space="preserve">        </w:t>
      </w:r>
      <w:r>
        <w:rPr>
          <w:rFonts w:ascii="Calibri" w:hAnsi="Calibri" w:cs="Calibri"/>
          <w:sz w:val="28"/>
          <w:szCs w:val="28"/>
          <w:lang w:val="pl-PL"/>
        </w:rPr>
        <w:t>2804,85</w:t>
      </w:r>
      <w:r>
        <w:rPr>
          <w:rFonts w:ascii="Calibri" w:hAnsi="Calibri" w:cs="Calibri"/>
          <w:sz w:val="28"/>
          <w:szCs w:val="28"/>
        </w:rPr>
        <w:t xml:space="preserve"> m</w:t>
      </w:r>
      <w:r>
        <w:rPr>
          <w:rFonts w:ascii="Calibri" w:hAnsi="Calibri" w:cs="Calibri"/>
          <w:sz w:val="28"/>
          <w:szCs w:val="28"/>
          <w:vertAlign w:val="superscript"/>
        </w:rPr>
        <w:t>2</w:t>
      </w:r>
      <w:r>
        <w:rPr>
          <w:rFonts w:ascii="Calibri" w:hAnsi="Calibri" w:cs="Calibri"/>
          <w:sz w:val="28"/>
          <w:szCs w:val="28"/>
        </w:rPr>
        <w:t>,</w:t>
      </w:r>
    </w:p>
    <w:p w:rsidR="004832EA" w:rsidRDefault="004832EA" w:rsidP="004832EA">
      <w:pPr>
        <w:pStyle w:val="Tekstpodstawowy"/>
        <w:numPr>
          <w:ilvl w:val="0"/>
          <w:numId w:val="2"/>
        </w:numPr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liczba stałych użytkowników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 xml:space="preserve">    </w:t>
      </w:r>
      <w:r>
        <w:rPr>
          <w:rFonts w:ascii="Calibri" w:hAnsi="Calibri" w:cs="Calibri"/>
          <w:sz w:val="28"/>
          <w:szCs w:val="28"/>
        </w:rPr>
        <w:tab/>
        <w:t xml:space="preserve">     </w:t>
      </w:r>
      <w:r>
        <w:rPr>
          <w:rFonts w:ascii="Calibri" w:hAnsi="Calibri" w:cs="Calibri"/>
          <w:sz w:val="28"/>
          <w:szCs w:val="28"/>
          <w:lang w:val="pl-PL"/>
        </w:rPr>
        <w:t>352</w:t>
      </w:r>
    </w:p>
    <w:p w:rsidR="004832EA" w:rsidRDefault="004832EA" w:rsidP="004832EA">
      <w:pPr>
        <w:pStyle w:val="Tekstpodstawowy"/>
        <w:numPr>
          <w:ilvl w:val="0"/>
          <w:numId w:val="2"/>
        </w:numPr>
        <w:spacing w:after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kubatura budynku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 xml:space="preserve">           </w:t>
      </w:r>
      <w:r>
        <w:rPr>
          <w:rFonts w:ascii="Calibri" w:hAnsi="Calibri" w:cs="Calibri"/>
          <w:sz w:val="28"/>
          <w:szCs w:val="28"/>
          <w:lang w:val="pl-PL"/>
        </w:rPr>
        <w:t xml:space="preserve">13765 </w:t>
      </w:r>
      <w:r>
        <w:rPr>
          <w:rFonts w:ascii="Calibri" w:hAnsi="Calibri" w:cs="Calibri"/>
          <w:sz w:val="28"/>
          <w:szCs w:val="28"/>
        </w:rPr>
        <w:t>m</w:t>
      </w:r>
      <w:r>
        <w:rPr>
          <w:rFonts w:ascii="Calibri" w:hAnsi="Calibri" w:cs="Calibri"/>
          <w:sz w:val="28"/>
          <w:szCs w:val="28"/>
          <w:vertAlign w:val="superscript"/>
        </w:rPr>
        <w:t>3</w:t>
      </w:r>
    </w:p>
    <w:p w:rsidR="004832EA" w:rsidRDefault="004832EA" w:rsidP="004832EA">
      <w:pPr>
        <w:pStyle w:val="Tekstpodstawowy"/>
        <w:spacing w:after="0"/>
        <w:rPr>
          <w:rFonts w:ascii="Calibri" w:hAnsi="Calibri" w:cs="Calibri"/>
          <w:sz w:val="28"/>
          <w:szCs w:val="28"/>
          <w:lang w:val="pl-PL"/>
        </w:rPr>
      </w:pPr>
    </w:p>
    <w:p w:rsidR="004832EA" w:rsidRDefault="004832EA" w:rsidP="004832EA">
      <w:pPr>
        <w:pStyle w:val="Tekstpodstawowy"/>
        <w:spacing w:after="0"/>
        <w:rPr>
          <w:rFonts w:ascii="Calibri" w:hAnsi="Calibri" w:cs="Calibri"/>
          <w:sz w:val="28"/>
          <w:szCs w:val="28"/>
          <w:lang w:val="pl-PL"/>
        </w:rPr>
      </w:pPr>
    </w:p>
    <w:p w:rsidR="004832EA" w:rsidRDefault="004832EA" w:rsidP="004832EA">
      <w:pPr>
        <w:pStyle w:val="Tekstpodstawowy"/>
        <w:spacing w:after="0"/>
        <w:rPr>
          <w:rFonts w:ascii="Calibri" w:hAnsi="Calibri" w:cs="Calibri"/>
          <w:sz w:val="28"/>
          <w:szCs w:val="28"/>
          <w:lang w:val="pl-PL"/>
        </w:rPr>
      </w:pPr>
    </w:p>
    <w:p w:rsidR="004832EA" w:rsidRDefault="004832EA" w:rsidP="004832EA">
      <w:pPr>
        <w:pStyle w:val="Tekstpodstawowy"/>
        <w:spacing w:after="0"/>
        <w:rPr>
          <w:rFonts w:ascii="Calibri" w:hAnsi="Calibri" w:cs="Calibri"/>
          <w:sz w:val="28"/>
          <w:szCs w:val="28"/>
          <w:lang w:val="pl-PL"/>
        </w:rPr>
      </w:pPr>
    </w:p>
    <w:p w:rsidR="004832EA" w:rsidRDefault="004832EA" w:rsidP="004832EA">
      <w:pPr>
        <w:pStyle w:val="Tekstpodstawowy"/>
        <w:spacing w:after="0"/>
        <w:rPr>
          <w:rFonts w:ascii="Calibri" w:hAnsi="Calibri" w:cs="Calibri"/>
          <w:sz w:val="28"/>
          <w:szCs w:val="28"/>
          <w:lang w:val="pl-PL"/>
        </w:rPr>
      </w:pPr>
    </w:p>
    <w:p w:rsidR="004832EA" w:rsidRDefault="004832EA" w:rsidP="004832EA">
      <w:pPr>
        <w:pStyle w:val="Tekstpodstawowy"/>
        <w:spacing w:after="0"/>
        <w:rPr>
          <w:rFonts w:ascii="Calibri" w:hAnsi="Calibri" w:cs="Calibri"/>
          <w:sz w:val="28"/>
          <w:szCs w:val="28"/>
          <w:lang w:val="pl-PL"/>
        </w:rPr>
      </w:pPr>
    </w:p>
    <w:p w:rsidR="004832EA" w:rsidRDefault="004832EA" w:rsidP="004832EA">
      <w:pPr>
        <w:pStyle w:val="Tekstpodstawowy"/>
        <w:numPr>
          <w:ilvl w:val="0"/>
          <w:numId w:val="1"/>
        </w:numPr>
        <w:spacing w:after="0"/>
        <w:ind w:left="425" w:hanging="357"/>
        <w:jc w:val="both"/>
        <w:rPr>
          <w:rFonts w:ascii="Calibri" w:hAnsi="Calibri" w:cs="Calibri"/>
          <w:sz w:val="28"/>
          <w:szCs w:val="28"/>
          <w:lang w:val="pl-PL"/>
        </w:rPr>
      </w:pPr>
      <w:r>
        <w:rPr>
          <w:rFonts w:ascii="Calibri" w:hAnsi="Calibri" w:cs="Calibri"/>
          <w:b/>
          <w:sz w:val="28"/>
          <w:szCs w:val="28"/>
          <w:lang w:val="pl-PL"/>
        </w:rPr>
        <w:t>budynek przy ul. Tynieckiej 25</w:t>
      </w:r>
      <w:r>
        <w:rPr>
          <w:rFonts w:ascii="Calibri" w:hAnsi="Calibri" w:cs="Calibri"/>
          <w:sz w:val="28"/>
          <w:szCs w:val="28"/>
          <w:lang w:val="pl-PL"/>
        </w:rPr>
        <w:t xml:space="preserve">  (niemodernizowany, bez dodatkowej izolacji cieplnej) </w:t>
      </w:r>
    </w:p>
    <w:p w:rsidR="004832EA" w:rsidRDefault="004832EA" w:rsidP="004832EA">
      <w:pPr>
        <w:pStyle w:val="Tekstpodstawowy"/>
        <w:numPr>
          <w:ilvl w:val="0"/>
          <w:numId w:val="3"/>
        </w:numPr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planowane zużycie energii cieplnej : </w:t>
      </w:r>
      <w:r>
        <w:rPr>
          <w:rFonts w:ascii="Calibri" w:hAnsi="Calibri" w:cs="Calibri"/>
          <w:sz w:val="28"/>
          <w:szCs w:val="28"/>
          <w:lang w:val="pl-PL"/>
        </w:rPr>
        <w:t>1893,78</w:t>
      </w:r>
      <w:r>
        <w:rPr>
          <w:rFonts w:ascii="Calibri" w:hAnsi="Calibri" w:cs="Calibri"/>
          <w:sz w:val="28"/>
          <w:szCs w:val="28"/>
        </w:rPr>
        <w:t xml:space="preserve"> GJ</w:t>
      </w:r>
    </w:p>
    <w:p w:rsidR="004832EA" w:rsidRDefault="004832EA" w:rsidP="004832EA">
      <w:pPr>
        <w:pStyle w:val="Tekstpodstawowy"/>
        <w:numPr>
          <w:ilvl w:val="0"/>
          <w:numId w:val="3"/>
        </w:numPr>
        <w:spacing w:after="0"/>
        <w:ind w:left="714" w:hanging="357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moc cieplna  zamawiana: 0</w:t>
      </w:r>
      <w:r>
        <w:rPr>
          <w:rFonts w:ascii="Calibri" w:hAnsi="Calibri" w:cs="Calibri"/>
          <w:sz w:val="28"/>
          <w:szCs w:val="28"/>
          <w:lang w:val="pl-PL"/>
        </w:rPr>
        <w:t>,3059</w:t>
      </w:r>
      <w:r>
        <w:rPr>
          <w:rFonts w:ascii="Calibri" w:hAnsi="Calibri" w:cs="Calibri"/>
          <w:sz w:val="28"/>
          <w:szCs w:val="28"/>
        </w:rPr>
        <w:t xml:space="preserve"> MW,</w:t>
      </w:r>
    </w:p>
    <w:p w:rsidR="004832EA" w:rsidRDefault="004832EA" w:rsidP="004832EA">
      <w:pPr>
        <w:pStyle w:val="Tekstpodstawowy"/>
        <w:spacing w:after="0"/>
        <w:ind w:left="709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 tym</w:t>
      </w:r>
    </w:p>
    <w:p w:rsidR="004832EA" w:rsidRDefault="004832EA" w:rsidP="004832EA">
      <w:pPr>
        <w:pStyle w:val="Tekstpodstawowy"/>
        <w:spacing w:after="0"/>
        <w:ind w:left="1417"/>
        <w:jc w:val="both"/>
        <w:rPr>
          <w:rFonts w:ascii="Calibri" w:hAnsi="Calibri" w:cs="Calibri"/>
          <w:sz w:val="28"/>
          <w:szCs w:val="28"/>
          <w:lang w:val="pl-PL"/>
        </w:rPr>
      </w:pPr>
      <w:r>
        <w:rPr>
          <w:rFonts w:ascii="Calibri" w:hAnsi="Calibri" w:cs="Calibri"/>
          <w:sz w:val="28"/>
          <w:szCs w:val="28"/>
          <w:lang w:val="pl-PL"/>
        </w:rPr>
        <w:t>- moc cieplna na potrzeby ogrzewania:                    0,2559 MW,</w:t>
      </w:r>
    </w:p>
    <w:p w:rsidR="004832EA" w:rsidRDefault="004832EA" w:rsidP="004832EA">
      <w:pPr>
        <w:pStyle w:val="Tekstpodstawowy"/>
        <w:spacing w:after="0"/>
        <w:ind w:left="709" w:firstLine="707"/>
        <w:jc w:val="both"/>
        <w:rPr>
          <w:rFonts w:ascii="Calibri" w:hAnsi="Calibri" w:cs="Calibri"/>
          <w:sz w:val="28"/>
          <w:szCs w:val="28"/>
          <w:lang w:val="pl-PL"/>
        </w:rPr>
      </w:pPr>
      <w:r>
        <w:rPr>
          <w:rFonts w:ascii="Calibri" w:hAnsi="Calibri" w:cs="Calibri"/>
          <w:sz w:val="28"/>
          <w:szCs w:val="28"/>
          <w:lang w:val="pl-PL"/>
        </w:rPr>
        <w:t>- moc cieplna na potrzeby ciepłej wody średnia:    0,0500 MW</w:t>
      </w:r>
    </w:p>
    <w:p w:rsidR="004832EA" w:rsidRDefault="004832EA" w:rsidP="004832EA">
      <w:pPr>
        <w:pStyle w:val="Tekstpodstawowy"/>
        <w:spacing w:after="0"/>
        <w:ind w:left="709" w:firstLine="707"/>
        <w:jc w:val="both"/>
        <w:rPr>
          <w:rFonts w:ascii="Calibri" w:hAnsi="Calibri" w:cs="Calibri"/>
          <w:sz w:val="28"/>
          <w:szCs w:val="28"/>
          <w:lang w:val="pl-PL"/>
        </w:rPr>
      </w:pPr>
      <w:r>
        <w:rPr>
          <w:rFonts w:ascii="Calibri" w:hAnsi="Calibri" w:cs="Calibri"/>
          <w:sz w:val="28"/>
          <w:szCs w:val="28"/>
          <w:lang w:val="pl-PL"/>
        </w:rPr>
        <w:t>- moc maksymalna:  0,1396 MW</w:t>
      </w:r>
    </w:p>
    <w:p w:rsidR="004832EA" w:rsidRDefault="004832EA" w:rsidP="004832EA">
      <w:pPr>
        <w:pStyle w:val="Tekstpodstawowy"/>
        <w:spacing w:after="0"/>
        <w:ind w:left="709" w:firstLine="707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  <w:lang w:val="pl-PL"/>
        </w:rPr>
        <w:t xml:space="preserve">- moc cieplna na potrzeby c.t.      --  </w:t>
      </w:r>
      <w:r>
        <w:rPr>
          <w:rFonts w:ascii="Calibri" w:hAnsi="Calibri" w:cs="Calibri"/>
          <w:sz w:val="28"/>
          <w:szCs w:val="28"/>
        </w:rPr>
        <w:t xml:space="preserve"> MW</w:t>
      </w:r>
    </w:p>
    <w:p w:rsidR="004832EA" w:rsidRDefault="004832EA" w:rsidP="004832EA">
      <w:pPr>
        <w:pStyle w:val="Tekstpodstawowy"/>
        <w:spacing w:after="0"/>
        <w:ind w:left="709" w:firstLine="707"/>
        <w:jc w:val="both"/>
        <w:rPr>
          <w:rFonts w:ascii="Calibri" w:hAnsi="Calibri" w:cs="Calibri"/>
          <w:sz w:val="28"/>
          <w:szCs w:val="28"/>
        </w:rPr>
      </w:pPr>
    </w:p>
    <w:p w:rsidR="004832EA" w:rsidRDefault="004832EA" w:rsidP="004832EA">
      <w:pPr>
        <w:pStyle w:val="Tekstpodstawowy"/>
        <w:spacing w:after="0"/>
        <w:jc w:val="both"/>
        <w:rPr>
          <w:rFonts w:ascii="Calibri" w:hAnsi="Calibri" w:cs="Calibri"/>
          <w:sz w:val="28"/>
          <w:szCs w:val="28"/>
          <w:lang w:val="pl-PL"/>
        </w:rPr>
      </w:pPr>
      <w:r>
        <w:rPr>
          <w:rFonts w:ascii="Calibri" w:hAnsi="Calibri" w:cs="Calibri"/>
          <w:sz w:val="28"/>
          <w:szCs w:val="28"/>
          <w:lang w:val="pl-PL"/>
        </w:rPr>
        <w:t xml:space="preserve">          natężenie przepływu nośnika ciepła dla zimy:  4,1   m³/h</w:t>
      </w:r>
    </w:p>
    <w:p w:rsidR="004832EA" w:rsidRDefault="004832EA" w:rsidP="004832EA">
      <w:pPr>
        <w:pStyle w:val="Tekstpodstawowy"/>
        <w:spacing w:after="0"/>
        <w:jc w:val="both"/>
        <w:rPr>
          <w:rFonts w:ascii="Calibri" w:hAnsi="Calibri" w:cs="Calibri"/>
          <w:sz w:val="28"/>
          <w:szCs w:val="28"/>
          <w:lang w:val="pl-PL"/>
        </w:rPr>
      </w:pPr>
      <w:r>
        <w:rPr>
          <w:rFonts w:ascii="Calibri" w:hAnsi="Calibri" w:cs="Calibri"/>
          <w:sz w:val="28"/>
          <w:szCs w:val="28"/>
          <w:lang w:val="pl-PL"/>
        </w:rPr>
        <w:t xml:space="preserve">          natężenie przepływu nośnika ciepła dla lata:    2,7  m³/h</w:t>
      </w:r>
    </w:p>
    <w:p w:rsidR="004832EA" w:rsidRDefault="004832EA" w:rsidP="004832EA">
      <w:pPr>
        <w:pStyle w:val="Tekstpodstawowy"/>
        <w:spacing w:after="0"/>
        <w:jc w:val="both"/>
        <w:rPr>
          <w:rFonts w:ascii="Calibri" w:hAnsi="Calibri" w:cs="Calibri"/>
          <w:sz w:val="28"/>
          <w:szCs w:val="28"/>
          <w:lang w:val="pl-PL"/>
        </w:rPr>
      </w:pPr>
      <w:r>
        <w:rPr>
          <w:rFonts w:ascii="Calibri" w:hAnsi="Calibri" w:cs="Calibri"/>
          <w:sz w:val="28"/>
          <w:szCs w:val="28"/>
          <w:lang w:val="pl-PL"/>
        </w:rPr>
        <w:t xml:space="preserve"> </w:t>
      </w:r>
    </w:p>
    <w:p w:rsidR="004832EA" w:rsidRDefault="004832EA" w:rsidP="004832EA">
      <w:pPr>
        <w:pStyle w:val="Tekstpodstawowy"/>
        <w:numPr>
          <w:ilvl w:val="0"/>
          <w:numId w:val="3"/>
        </w:numPr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  <w:lang w:val="pl-PL"/>
        </w:rPr>
        <w:t>węzeł cieplny jest własnością Zamawiającego, zlokalizowany przy ul. Tynieckiej 25</w:t>
      </w:r>
    </w:p>
    <w:p w:rsidR="004832EA" w:rsidRDefault="004832EA" w:rsidP="004832EA">
      <w:pPr>
        <w:pStyle w:val="Tekstpodstawowy"/>
        <w:numPr>
          <w:ilvl w:val="0"/>
          <w:numId w:val="3"/>
        </w:numPr>
        <w:spacing w:after="0"/>
        <w:jc w:val="both"/>
        <w:rPr>
          <w:rFonts w:ascii="Calibri" w:hAnsi="Calibri" w:cs="Calibri"/>
          <w:sz w:val="28"/>
          <w:szCs w:val="28"/>
          <w:lang w:val="pl-PL"/>
        </w:rPr>
      </w:pPr>
      <w:r>
        <w:rPr>
          <w:rFonts w:ascii="Calibri" w:hAnsi="Calibri" w:cs="Calibri"/>
          <w:sz w:val="28"/>
          <w:szCs w:val="28"/>
          <w:lang w:val="pl-PL"/>
        </w:rPr>
        <w:t>układ pomiarowo-rozliczeniowy mierzący całkowite ciepło dostarczane do węzła cieplnego jest własnością Veolia Energia Warszawa S.A. i zainstalowany jest w makiecie węzła cieplnego,</w:t>
      </w:r>
    </w:p>
    <w:p w:rsidR="004832EA" w:rsidRDefault="004832EA" w:rsidP="004832EA">
      <w:pPr>
        <w:pStyle w:val="Tekstpodstawowy"/>
        <w:numPr>
          <w:ilvl w:val="0"/>
          <w:numId w:val="3"/>
        </w:numPr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regulatora pogodowy jest własnością Zamawiającego </w:t>
      </w:r>
    </w:p>
    <w:p w:rsidR="004832EA" w:rsidRDefault="004832EA" w:rsidP="004832EA">
      <w:pPr>
        <w:pStyle w:val="Tekstpodstawowy"/>
        <w:numPr>
          <w:ilvl w:val="0"/>
          <w:numId w:val="3"/>
        </w:numPr>
        <w:spacing w:after="0"/>
        <w:jc w:val="both"/>
        <w:rPr>
          <w:rFonts w:ascii="Calibri" w:hAnsi="Calibri" w:cs="Calibri"/>
          <w:sz w:val="28"/>
          <w:szCs w:val="28"/>
          <w:lang w:val="pl-PL"/>
        </w:rPr>
      </w:pPr>
      <w:r>
        <w:rPr>
          <w:rFonts w:ascii="Calibri" w:hAnsi="Calibri" w:cs="Calibri"/>
          <w:sz w:val="28"/>
          <w:szCs w:val="28"/>
          <w:lang w:val="pl-PL"/>
        </w:rPr>
        <w:t>temperatura obliczeniowa instalacji centralnego ogrzewania:</w:t>
      </w:r>
      <w:r>
        <w:rPr>
          <w:rFonts w:ascii="Calibri" w:hAnsi="Calibri" w:cs="Calibri"/>
          <w:sz w:val="28"/>
          <w:szCs w:val="28"/>
          <w:lang w:val="pl-PL"/>
        </w:rPr>
        <w:tab/>
        <w:t xml:space="preserve">85/60 </w:t>
      </w:r>
      <w:r>
        <w:rPr>
          <w:rFonts w:ascii="Calibri" w:hAnsi="Calibri" w:cs="Calibri"/>
          <w:sz w:val="28"/>
          <w:szCs w:val="28"/>
          <w:vertAlign w:val="superscript"/>
          <w:lang w:val="pl-PL"/>
        </w:rPr>
        <w:t>0</w:t>
      </w:r>
      <w:r>
        <w:rPr>
          <w:rFonts w:ascii="Calibri" w:hAnsi="Calibri" w:cs="Calibri"/>
          <w:sz w:val="28"/>
          <w:szCs w:val="28"/>
          <w:lang w:val="pl-PL"/>
        </w:rPr>
        <w:t>C</w:t>
      </w:r>
    </w:p>
    <w:p w:rsidR="004832EA" w:rsidRDefault="004832EA" w:rsidP="004832EA">
      <w:pPr>
        <w:pStyle w:val="Tekstpodstawowy"/>
        <w:numPr>
          <w:ilvl w:val="0"/>
          <w:numId w:val="3"/>
        </w:numPr>
        <w:spacing w:after="0"/>
        <w:jc w:val="both"/>
        <w:rPr>
          <w:rFonts w:ascii="Calibri" w:hAnsi="Calibri" w:cs="Calibri"/>
          <w:sz w:val="28"/>
          <w:szCs w:val="28"/>
          <w:lang w:val="pl-PL"/>
        </w:rPr>
      </w:pPr>
      <w:r>
        <w:rPr>
          <w:rFonts w:ascii="Calibri" w:hAnsi="Calibri" w:cs="Calibri"/>
          <w:sz w:val="28"/>
          <w:szCs w:val="28"/>
          <w:lang w:val="pl-PL"/>
        </w:rPr>
        <w:t xml:space="preserve">powierzchnia ogrzewana – lokali mieszkalnych : </w:t>
      </w:r>
      <w:r>
        <w:rPr>
          <w:rFonts w:ascii="Calibri" w:hAnsi="Calibri" w:cs="Calibri"/>
          <w:sz w:val="28"/>
          <w:szCs w:val="28"/>
          <w:lang w:val="pl-PL"/>
        </w:rPr>
        <w:tab/>
        <w:t xml:space="preserve">               0,00 m</w:t>
      </w:r>
      <w:r>
        <w:rPr>
          <w:rFonts w:ascii="Calibri" w:hAnsi="Calibri" w:cs="Calibri"/>
          <w:sz w:val="28"/>
          <w:szCs w:val="28"/>
          <w:vertAlign w:val="superscript"/>
          <w:lang w:val="pl-PL"/>
        </w:rPr>
        <w:t>2</w:t>
      </w:r>
      <w:r>
        <w:rPr>
          <w:rFonts w:ascii="Calibri" w:hAnsi="Calibri" w:cs="Calibri"/>
          <w:sz w:val="28"/>
          <w:szCs w:val="28"/>
          <w:lang w:val="pl-PL"/>
        </w:rPr>
        <w:t>,</w:t>
      </w:r>
    </w:p>
    <w:p w:rsidR="004832EA" w:rsidRDefault="004832EA" w:rsidP="004832EA">
      <w:pPr>
        <w:pStyle w:val="Tekstpodstawowy"/>
        <w:numPr>
          <w:ilvl w:val="0"/>
          <w:numId w:val="3"/>
        </w:numPr>
        <w:spacing w:after="0"/>
        <w:jc w:val="both"/>
        <w:rPr>
          <w:rFonts w:ascii="Calibri" w:hAnsi="Calibri" w:cs="Calibri"/>
          <w:sz w:val="28"/>
          <w:szCs w:val="28"/>
          <w:lang w:val="pl-PL"/>
        </w:rPr>
      </w:pPr>
      <w:r>
        <w:rPr>
          <w:rFonts w:ascii="Calibri" w:hAnsi="Calibri" w:cs="Calibri"/>
          <w:sz w:val="28"/>
          <w:szCs w:val="28"/>
          <w:lang w:val="pl-PL"/>
        </w:rPr>
        <w:t>powierzchnia ogrzewana – lokali niemieszkalnych :       2997,2 m</w:t>
      </w:r>
      <w:r>
        <w:rPr>
          <w:rFonts w:ascii="Calibri" w:hAnsi="Calibri" w:cs="Calibri"/>
          <w:sz w:val="28"/>
          <w:szCs w:val="28"/>
          <w:vertAlign w:val="superscript"/>
          <w:lang w:val="pl-PL"/>
        </w:rPr>
        <w:t>2</w:t>
      </w:r>
      <w:r>
        <w:rPr>
          <w:rFonts w:ascii="Calibri" w:hAnsi="Calibri" w:cs="Calibri"/>
          <w:sz w:val="28"/>
          <w:szCs w:val="28"/>
          <w:lang w:val="pl-PL"/>
        </w:rPr>
        <w:t>,</w:t>
      </w:r>
    </w:p>
    <w:p w:rsidR="004832EA" w:rsidRDefault="004832EA" w:rsidP="004832EA">
      <w:pPr>
        <w:pStyle w:val="Tekstpodstawowy"/>
        <w:numPr>
          <w:ilvl w:val="0"/>
          <w:numId w:val="3"/>
        </w:numPr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powierzchnia całkowita budynku - 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 xml:space="preserve">           </w:t>
      </w:r>
      <w:r>
        <w:rPr>
          <w:rFonts w:ascii="Calibri" w:hAnsi="Calibri" w:cs="Calibri"/>
          <w:sz w:val="28"/>
          <w:szCs w:val="28"/>
          <w:lang w:val="pl-PL"/>
        </w:rPr>
        <w:t>2997,2</w:t>
      </w:r>
      <w:r>
        <w:rPr>
          <w:rFonts w:ascii="Calibri" w:hAnsi="Calibri" w:cs="Calibri"/>
          <w:sz w:val="28"/>
          <w:szCs w:val="28"/>
        </w:rPr>
        <w:t>m</w:t>
      </w:r>
      <w:r>
        <w:rPr>
          <w:rFonts w:ascii="Calibri" w:hAnsi="Calibri" w:cs="Calibri"/>
          <w:sz w:val="28"/>
          <w:szCs w:val="28"/>
          <w:vertAlign w:val="superscript"/>
        </w:rPr>
        <w:t>2</w:t>
      </w:r>
      <w:r>
        <w:rPr>
          <w:rFonts w:ascii="Calibri" w:hAnsi="Calibri" w:cs="Calibri"/>
          <w:sz w:val="28"/>
          <w:szCs w:val="28"/>
        </w:rPr>
        <w:t>,</w:t>
      </w:r>
    </w:p>
    <w:p w:rsidR="004832EA" w:rsidRDefault="004832EA" w:rsidP="004832EA">
      <w:pPr>
        <w:pStyle w:val="Tekstpodstawowy"/>
        <w:numPr>
          <w:ilvl w:val="0"/>
          <w:numId w:val="3"/>
        </w:numPr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liczba stałych użytkowników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  <w:t xml:space="preserve">  </w:t>
      </w:r>
      <w:r>
        <w:rPr>
          <w:rFonts w:ascii="Calibri" w:hAnsi="Calibri" w:cs="Calibri"/>
          <w:sz w:val="28"/>
          <w:szCs w:val="28"/>
        </w:rPr>
        <w:tab/>
        <w:t xml:space="preserve">      </w:t>
      </w:r>
      <w:r>
        <w:rPr>
          <w:rFonts w:ascii="Calibri" w:hAnsi="Calibri" w:cs="Calibri"/>
          <w:sz w:val="28"/>
          <w:szCs w:val="28"/>
          <w:lang w:val="pl-PL"/>
        </w:rPr>
        <w:t>421</w:t>
      </w:r>
    </w:p>
    <w:p w:rsidR="004832EA" w:rsidRDefault="004832EA" w:rsidP="004832EA">
      <w:pPr>
        <w:pStyle w:val="Tekstpodstawowy"/>
        <w:numPr>
          <w:ilvl w:val="0"/>
          <w:numId w:val="3"/>
        </w:numPr>
        <w:spacing w:after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kubatura budynku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  <w:lang w:val="pl-PL"/>
        </w:rPr>
        <w:t xml:space="preserve">          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  <w:lang w:val="pl-PL"/>
        </w:rPr>
        <w:t xml:space="preserve">11806 </w:t>
      </w:r>
      <w:r>
        <w:rPr>
          <w:rFonts w:ascii="Calibri" w:hAnsi="Calibri" w:cs="Calibri"/>
          <w:sz w:val="28"/>
          <w:szCs w:val="28"/>
        </w:rPr>
        <w:t>m</w:t>
      </w:r>
      <w:r>
        <w:rPr>
          <w:rFonts w:ascii="Calibri" w:hAnsi="Calibri" w:cs="Calibri"/>
          <w:sz w:val="28"/>
          <w:szCs w:val="28"/>
          <w:vertAlign w:val="superscript"/>
        </w:rPr>
        <w:t>3</w:t>
      </w:r>
    </w:p>
    <w:p w:rsidR="004832EA" w:rsidRDefault="004832EA" w:rsidP="004832EA">
      <w:pPr>
        <w:pStyle w:val="Tekstpodstawowy"/>
        <w:spacing w:after="0"/>
        <w:ind w:left="720"/>
        <w:rPr>
          <w:rFonts w:ascii="Calibri" w:hAnsi="Calibri" w:cs="Calibri"/>
          <w:sz w:val="28"/>
          <w:szCs w:val="28"/>
          <w:vertAlign w:val="superscript"/>
        </w:rPr>
      </w:pPr>
    </w:p>
    <w:p w:rsidR="004832EA" w:rsidRDefault="004832EA" w:rsidP="004832EA">
      <w:pPr>
        <w:pStyle w:val="Tekstpodstawowy"/>
        <w:spacing w:after="0"/>
        <w:rPr>
          <w:rFonts w:ascii="Calibri" w:hAnsi="Calibri" w:cs="Calibri"/>
          <w:sz w:val="28"/>
          <w:szCs w:val="28"/>
        </w:rPr>
      </w:pPr>
    </w:p>
    <w:p w:rsidR="004832EA" w:rsidRDefault="004832EA" w:rsidP="004832EA">
      <w:pPr>
        <w:pStyle w:val="Tekstpodstawowy"/>
        <w:spacing w:after="0"/>
        <w:rPr>
          <w:rFonts w:ascii="Calibri" w:hAnsi="Calibri" w:cs="Calibri"/>
          <w:sz w:val="28"/>
          <w:szCs w:val="28"/>
        </w:rPr>
      </w:pPr>
    </w:p>
    <w:p w:rsidR="004832EA" w:rsidRDefault="004832EA" w:rsidP="004832EA">
      <w:pPr>
        <w:pStyle w:val="Tekstpodstawowy"/>
        <w:spacing w:after="0"/>
        <w:rPr>
          <w:rFonts w:ascii="Calibri" w:hAnsi="Calibri" w:cs="Calibri"/>
          <w:sz w:val="28"/>
          <w:szCs w:val="28"/>
        </w:rPr>
      </w:pPr>
    </w:p>
    <w:p w:rsidR="004832EA" w:rsidRDefault="004832EA" w:rsidP="004832EA">
      <w:pPr>
        <w:pStyle w:val="Tekstpodstawowy"/>
        <w:spacing w:after="0"/>
        <w:ind w:left="3544" w:hanging="3544"/>
        <w:rPr>
          <w:rFonts w:ascii="Arial" w:hAnsi="Arial" w:cs="Arial"/>
          <w:b/>
          <w:sz w:val="28"/>
          <w:szCs w:val="28"/>
          <w:lang w:val="pl-PL"/>
        </w:rPr>
      </w:pPr>
      <w:r>
        <w:rPr>
          <w:rFonts w:ascii="Calibri" w:hAnsi="Calibri" w:cs="Calibri"/>
          <w:b/>
          <w:sz w:val="28"/>
          <w:szCs w:val="28"/>
          <w:lang w:val="pl-PL"/>
        </w:rPr>
        <w:t>Termin realizacji: od dnia 01.01.2018 r. do dnia 31.12.2018 r.</w:t>
      </w:r>
    </w:p>
    <w:p w:rsidR="0025419F" w:rsidRDefault="0025419F"/>
    <w:sectPr w:rsidR="0025419F" w:rsidSect="00254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13C4F"/>
    <w:multiLevelType w:val="hybridMultilevel"/>
    <w:tmpl w:val="6726BB74"/>
    <w:lvl w:ilvl="0" w:tplc="D624C7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C346DB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35367A"/>
    <w:multiLevelType w:val="hybridMultilevel"/>
    <w:tmpl w:val="5C883ECE"/>
    <w:lvl w:ilvl="0" w:tplc="EDCE761E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B849D8"/>
    <w:multiLevelType w:val="hybridMultilevel"/>
    <w:tmpl w:val="FD8A348A"/>
    <w:lvl w:ilvl="0" w:tplc="24320838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4832EA"/>
    <w:rsid w:val="0025419F"/>
    <w:rsid w:val="004832EA"/>
    <w:rsid w:val="008A6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4832E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832EA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2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2017-11-28T13:40:00Z</dcterms:created>
  <dcterms:modified xsi:type="dcterms:W3CDTF">2017-11-28T13:40:00Z</dcterms:modified>
</cp:coreProperties>
</file>